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4F8" w:rsidRDefault="003054F8">
      <w:pPr>
        <w:pStyle w:val="Header"/>
        <w:tabs>
          <w:tab w:val="clear" w:pos="4153"/>
          <w:tab w:val="clear" w:pos="8306"/>
        </w:tabs>
        <w:rPr>
          <w:rFonts w:cs="Arial"/>
          <w:szCs w:val="24"/>
        </w:rPr>
      </w:pPr>
    </w:p>
    <w:p w:rsidR="005E1D4D" w:rsidRPr="00A50370" w:rsidRDefault="005E1D4D">
      <w:pPr>
        <w:pStyle w:val="Header"/>
        <w:tabs>
          <w:tab w:val="clear" w:pos="4153"/>
          <w:tab w:val="clear" w:pos="8306"/>
        </w:tabs>
        <w:rPr>
          <w:rFonts w:cs="Arial"/>
          <w:szCs w:val="24"/>
        </w:rPr>
        <w:sectPr w:rsidR="005E1D4D" w:rsidRPr="00A50370">
          <w:headerReference w:type="default" r:id="rId7"/>
          <w:footerReference w:type="default" r:id="rId8"/>
          <w:pgSz w:w="11906" w:h="16838" w:code="9"/>
          <w:pgMar w:top="964" w:right="964" w:bottom="964" w:left="964" w:header="794" w:footer="794" w:gutter="0"/>
          <w:cols w:space="720"/>
        </w:sectPr>
      </w:pPr>
    </w:p>
    <w:p w:rsidR="005E1D4D" w:rsidRDefault="005E1D4D" w:rsidP="005E1D4D">
      <w:pPr>
        <w:pStyle w:val="Heading1"/>
        <w:jc w:val="left"/>
        <w:rPr>
          <w:rFonts w:cs="Arial"/>
          <w:szCs w:val="32"/>
        </w:rPr>
      </w:pPr>
      <w:bookmarkStart w:id="0" w:name="idline"/>
      <w:bookmarkEnd w:id="0"/>
    </w:p>
    <w:p w:rsidR="003054F8" w:rsidRPr="00A50370" w:rsidRDefault="00866DEB" w:rsidP="005E1D4D">
      <w:pPr>
        <w:pStyle w:val="Heading1"/>
        <w:jc w:val="left"/>
        <w:rPr>
          <w:rFonts w:cs="Arial"/>
          <w:szCs w:val="32"/>
        </w:rPr>
      </w:pPr>
      <w:r>
        <w:rPr>
          <w:rFonts w:cs="Arial"/>
          <w:szCs w:val="32"/>
        </w:rPr>
        <w:t>Pigmentary Glaucoma</w:t>
      </w:r>
    </w:p>
    <w:p w:rsidR="00866A23" w:rsidRPr="00A50370" w:rsidRDefault="0090027B" w:rsidP="00866A23">
      <w:pPr>
        <w:rPr>
          <w:rFonts w:cs="Arial"/>
          <w:szCs w:val="24"/>
        </w:rPr>
      </w:pPr>
      <w:hyperlink r:id="rId9" w:history="1">
        <w:r w:rsidR="005E1D4D">
          <w:rPr>
            <w:noProof/>
            <w:lang w:eastAsia="en-GB"/>
          </w:rPr>
          <w:drawing>
            <wp:anchor distT="0" distB="0" distL="114300" distR="114300" simplePos="0" relativeHeight="251660288" behindDoc="0" locked="0" layoutInCell="1" allowOverlap="1">
              <wp:simplePos x="0" y="0"/>
              <wp:positionH relativeFrom="column">
                <wp:align>left</wp:align>
              </wp:positionH>
              <wp:positionV relativeFrom="paragraph">
                <wp:posOffset>-6985</wp:posOffset>
              </wp:positionV>
              <wp:extent cx="1352550" cy="742950"/>
              <wp:effectExtent l="19050" t="0" r="0" b="0"/>
              <wp:wrapSquare wrapText="right"/>
              <wp:docPr id="16" name="Picture 16" descr="Inernational Glaucoma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ernational Glaucoma Association"/>
                      <pic:cNvPicPr>
                        <a:picLocks noChangeAspect="1" noChangeArrowheads="1"/>
                      </pic:cNvPicPr>
                    </pic:nvPicPr>
                    <pic:blipFill>
                      <a:blip r:embed="rId10" r:link="rId11"/>
                      <a:srcRect/>
                      <a:stretch>
                        <a:fillRect/>
                      </a:stretch>
                    </pic:blipFill>
                    <pic:spPr bwMode="auto">
                      <a:xfrm>
                        <a:off x="0" y="0"/>
                        <a:ext cx="1352550" cy="742950"/>
                      </a:xfrm>
                      <a:prstGeom prst="rect">
                        <a:avLst/>
                      </a:prstGeom>
                      <a:noFill/>
                      <a:ln w="9525">
                        <a:noFill/>
                        <a:miter lim="800000"/>
                        <a:headEnd/>
                        <a:tailEnd/>
                      </a:ln>
                    </pic:spPr>
                  </pic:pic>
                </a:graphicData>
              </a:graphic>
            </wp:anchor>
          </w:drawing>
        </w:r>
      </w:hyperlink>
    </w:p>
    <w:p w:rsidR="000F48B2" w:rsidRPr="00866DEB" w:rsidRDefault="00866DEB" w:rsidP="00A93F92">
      <w:pPr>
        <w:rPr>
          <w:rFonts w:cs="Arial"/>
          <w:b/>
          <w:sz w:val="32"/>
          <w:szCs w:val="32"/>
        </w:rPr>
      </w:pPr>
      <w:r w:rsidRPr="00866DEB">
        <w:rPr>
          <w:rFonts w:cs="Arial"/>
          <w:b/>
          <w:sz w:val="32"/>
          <w:szCs w:val="32"/>
        </w:rPr>
        <w:t>What is glaucoma?</w:t>
      </w:r>
    </w:p>
    <w:p w:rsidR="00866DEB" w:rsidRDefault="00866DEB" w:rsidP="00A93F92">
      <w:pPr>
        <w:rPr>
          <w:rFonts w:cs="Arial"/>
          <w:sz w:val="32"/>
          <w:szCs w:val="32"/>
        </w:rPr>
      </w:pPr>
      <w:r>
        <w:rPr>
          <w:rFonts w:cs="Arial"/>
          <w:sz w:val="32"/>
          <w:szCs w:val="32"/>
        </w:rPr>
        <w:t xml:space="preserve">This is the name given to a number of conditions in which the optic nerve is damaged where it leaves the eye.  This type of damage has characteristic features and effects on vision.  </w:t>
      </w:r>
    </w:p>
    <w:p w:rsidR="00866DEB" w:rsidRDefault="00866DEB" w:rsidP="00A93F92">
      <w:pPr>
        <w:rPr>
          <w:rFonts w:cs="Arial"/>
          <w:sz w:val="32"/>
          <w:szCs w:val="32"/>
        </w:rPr>
      </w:pPr>
    </w:p>
    <w:p w:rsidR="00866DEB" w:rsidRDefault="00866DEB" w:rsidP="00A93F92">
      <w:pPr>
        <w:rPr>
          <w:rFonts w:cs="Arial"/>
          <w:sz w:val="32"/>
          <w:szCs w:val="32"/>
        </w:rPr>
      </w:pPr>
      <w:r>
        <w:rPr>
          <w:rFonts w:cs="Arial"/>
          <w:sz w:val="32"/>
          <w:szCs w:val="32"/>
        </w:rPr>
        <w:t>The cause of this damage in some otherwise healthy eyes is often raised pressure within the eye (intraocular pressure) but the nerve may be subject to damage for other reasons such as poor blood supply, weakness of structure or disordered enzyme systems resulting in death of retinal cells.  There can also be secondary causes.</w:t>
      </w:r>
    </w:p>
    <w:p w:rsidR="00866DEB" w:rsidRDefault="00866DEB" w:rsidP="00A93F92">
      <w:pPr>
        <w:rPr>
          <w:rFonts w:cs="Arial"/>
          <w:sz w:val="32"/>
          <w:szCs w:val="32"/>
        </w:rPr>
      </w:pPr>
    </w:p>
    <w:p w:rsidR="00866DEB" w:rsidRPr="00866DEB" w:rsidRDefault="00866DEB" w:rsidP="00A93F92">
      <w:pPr>
        <w:rPr>
          <w:rFonts w:cs="Arial"/>
          <w:b/>
          <w:sz w:val="32"/>
          <w:szCs w:val="32"/>
        </w:rPr>
      </w:pPr>
      <w:r w:rsidRPr="00866DEB">
        <w:rPr>
          <w:rFonts w:cs="Arial"/>
          <w:b/>
          <w:sz w:val="32"/>
          <w:szCs w:val="32"/>
        </w:rPr>
        <w:t>Pigmentary glaucoma</w:t>
      </w:r>
    </w:p>
    <w:p w:rsidR="00866DEB" w:rsidRDefault="00866DEB">
      <w:pPr>
        <w:rPr>
          <w:rFonts w:cs="Arial"/>
          <w:sz w:val="32"/>
          <w:szCs w:val="32"/>
        </w:rPr>
      </w:pPr>
      <w:r w:rsidRPr="00866DEB">
        <w:rPr>
          <w:rFonts w:cs="Arial"/>
          <w:sz w:val="32"/>
          <w:szCs w:val="32"/>
        </w:rPr>
        <w:t>Pigment disper</w:t>
      </w:r>
      <w:r>
        <w:rPr>
          <w:rFonts w:cs="Arial"/>
          <w:sz w:val="32"/>
          <w:szCs w:val="32"/>
        </w:rPr>
        <w:t>sion of a mild degree is a normal ageing process and even when marked it may be present for many years before there is a rise in eye pressure, which may not occur at all.</w:t>
      </w:r>
    </w:p>
    <w:p w:rsidR="00866DEB" w:rsidRDefault="00866DEB">
      <w:pPr>
        <w:rPr>
          <w:rFonts w:cs="Arial"/>
          <w:sz w:val="32"/>
          <w:szCs w:val="32"/>
        </w:rPr>
      </w:pPr>
    </w:p>
    <w:p w:rsidR="00F33671" w:rsidRDefault="00F33671">
      <w:pPr>
        <w:rPr>
          <w:rFonts w:cs="Arial"/>
          <w:sz w:val="32"/>
          <w:szCs w:val="32"/>
        </w:rPr>
      </w:pPr>
      <w:r>
        <w:rPr>
          <w:rFonts w:cs="Arial"/>
          <w:sz w:val="32"/>
          <w:szCs w:val="32"/>
        </w:rPr>
        <w:t>Glaucoma associated with the pigment dispersal syndrome or “pigmentary glaucoma” is a form of chronic glaucoma and is usually regarded as a form of secondary glaucoma but is sometimes included in the general group “Primary Open Angle Glaucoma”.</w:t>
      </w:r>
    </w:p>
    <w:p w:rsidR="00F33671" w:rsidRDefault="00F33671">
      <w:pPr>
        <w:rPr>
          <w:rFonts w:cs="Arial"/>
          <w:sz w:val="32"/>
          <w:szCs w:val="32"/>
        </w:rPr>
      </w:pPr>
    </w:p>
    <w:p w:rsidR="00866DEB" w:rsidRDefault="00F33671">
      <w:pPr>
        <w:rPr>
          <w:rFonts w:cs="Arial"/>
          <w:sz w:val="32"/>
          <w:szCs w:val="32"/>
        </w:rPr>
      </w:pPr>
      <w:r>
        <w:rPr>
          <w:rFonts w:cs="Arial"/>
          <w:sz w:val="32"/>
          <w:szCs w:val="32"/>
        </w:rPr>
        <w:t>The condition is relatively uncommon and tends to occur at a younger age than is usual in primary open angle glaucoma, mainly affecting myopic men.</w:t>
      </w:r>
    </w:p>
    <w:p w:rsidR="00F33671" w:rsidRDefault="00F33671">
      <w:pPr>
        <w:rPr>
          <w:rFonts w:cs="Arial"/>
          <w:sz w:val="32"/>
          <w:szCs w:val="32"/>
        </w:rPr>
      </w:pPr>
    </w:p>
    <w:p w:rsidR="00F33671" w:rsidRDefault="00F33671">
      <w:pPr>
        <w:rPr>
          <w:rFonts w:cs="Arial"/>
          <w:sz w:val="32"/>
          <w:szCs w:val="32"/>
        </w:rPr>
      </w:pPr>
      <w:r>
        <w:rPr>
          <w:rFonts w:cs="Arial"/>
          <w:sz w:val="32"/>
          <w:szCs w:val="32"/>
        </w:rPr>
        <w:t xml:space="preserve">Pigment is lost from the surface cells on the back of the periphery of the iris and deposited on the back of the cornea, the surfaces of the lens and on the drainage meshwork.  </w:t>
      </w:r>
    </w:p>
    <w:p w:rsidR="00F33671" w:rsidRDefault="00F33671">
      <w:pPr>
        <w:rPr>
          <w:rFonts w:cs="Arial"/>
          <w:sz w:val="32"/>
          <w:szCs w:val="32"/>
        </w:rPr>
      </w:pPr>
    </w:p>
    <w:p w:rsidR="00F33671" w:rsidRDefault="00F33671">
      <w:pPr>
        <w:rPr>
          <w:rFonts w:cs="Arial"/>
          <w:sz w:val="32"/>
          <w:szCs w:val="32"/>
        </w:rPr>
      </w:pPr>
      <w:r>
        <w:rPr>
          <w:rFonts w:cs="Arial"/>
          <w:sz w:val="32"/>
          <w:szCs w:val="32"/>
        </w:rPr>
        <w:t>Normally clear fluid which is secreted into the eye escapes via the drainage meshwork and returns to the bloodstream.</w:t>
      </w:r>
    </w:p>
    <w:p w:rsidR="00F33671" w:rsidRDefault="00F33671">
      <w:pPr>
        <w:rPr>
          <w:rFonts w:cs="Arial"/>
          <w:sz w:val="32"/>
          <w:szCs w:val="32"/>
        </w:rPr>
      </w:pPr>
    </w:p>
    <w:p w:rsidR="00F33671" w:rsidRDefault="00F33671">
      <w:pPr>
        <w:rPr>
          <w:rFonts w:cs="Arial"/>
          <w:sz w:val="32"/>
          <w:szCs w:val="32"/>
        </w:rPr>
      </w:pPr>
      <w:r>
        <w:rPr>
          <w:rFonts w:cs="Arial"/>
          <w:sz w:val="32"/>
          <w:szCs w:val="32"/>
        </w:rPr>
        <w:t>Obstruction of this meshwork appears to account for the raised intraocular pressure.  Pigmentary glaucoma behaves in general like primary open angle glaucoma not accompanied by the pigment disturbance.</w:t>
      </w:r>
    </w:p>
    <w:p w:rsidR="00F33671" w:rsidRDefault="00F33671">
      <w:pPr>
        <w:rPr>
          <w:rFonts w:cs="Arial"/>
          <w:sz w:val="32"/>
          <w:szCs w:val="32"/>
        </w:rPr>
      </w:pPr>
    </w:p>
    <w:p w:rsidR="00F33671" w:rsidRDefault="00F33671">
      <w:pPr>
        <w:rPr>
          <w:rFonts w:cs="Arial"/>
          <w:sz w:val="32"/>
          <w:szCs w:val="32"/>
        </w:rPr>
      </w:pPr>
      <w:r>
        <w:rPr>
          <w:rFonts w:cs="Arial"/>
          <w:sz w:val="32"/>
          <w:szCs w:val="32"/>
        </w:rPr>
        <w:t>Medical treatment follows the same lines as in primary open angle glaucoma generally</w:t>
      </w:r>
      <w:r w:rsidR="004A4A13">
        <w:rPr>
          <w:rFonts w:cs="Arial"/>
          <w:sz w:val="32"/>
          <w:szCs w:val="32"/>
        </w:rPr>
        <w:t>,</w:t>
      </w:r>
      <w:r>
        <w:rPr>
          <w:rFonts w:cs="Arial"/>
          <w:sz w:val="32"/>
          <w:szCs w:val="32"/>
        </w:rPr>
        <w:t xml:space="preserve"> though strong drops of the type which contract the pupil may require caution in their use.</w:t>
      </w:r>
    </w:p>
    <w:p w:rsidR="00F33671" w:rsidRDefault="00F33671">
      <w:pPr>
        <w:rPr>
          <w:rFonts w:cs="Arial"/>
          <w:sz w:val="32"/>
          <w:szCs w:val="32"/>
        </w:rPr>
      </w:pPr>
    </w:p>
    <w:p w:rsidR="004A4A13" w:rsidRDefault="004A4A13" w:rsidP="004A4A13">
      <w:pPr>
        <w:pStyle w:val="Heading2"/>
        <w:spacing w:before="0"/>
        <w:rPr>
          <w:rFonts w:cs="Arial"/>
          <w:sz w:val="32"/>
          <w:szCs w:val="32"/>
        </w:rPr>
      </w:pPr>
      <w:r w:rsidRPr="00AE7B19">
        <w:rPr>
          <w:rFonts w:cs="Arial"/>
          <w:sz w:val="32"/>
          <w:szCs w:val="32"/>
        </w:rPr>
        <w:t xml:space="preserve">Further sources of information </w:t>
      </w:r>
    </w:p>
    <w:p w:rsidR="004A4A13" w:rsidRDefault="004A4A13" w:rsidP="004A4A13">
      <w:pPr>
        <w:pStyle w:val="Heading2"/>
        <w:spacing w:before="0"/>
        <w:rPr>
          <w:rFonts w:cs="Arial"/>
          <w:b w:val="0"/>
          <w:sz w:val="32"/>
          <w:szCs w:val="32"/>
        </w:rPr>
      </w:pPr>
      <w:r w:rsidRPr="005463CC">
        <w:rPr>
          <w:rFonts w:cs="Arial"/>
          <w:b w:val="0"/>
          <w:sz w:val="32"/>
          <w:szCs w:val="32"/>
        </w:rPr>
        <w:t>Th</w:t>
      </w:r>
      <w:r>
        <w:rPr>
          <w:rFonts w:cs="Arial"/>
          <w:b w:val="0"/>
          <w:sz w:val="32"/>
          <w:szCs w:val="32"/>
        </w:rPr>
        <w:t>i</w:t>
      </w:r>
      <w:r w:rsidRPr="005463CC">
        <w:rPr>
          <w:rFonts w:cs="Arial"/>
          <w:b w:val="0"/>
          <w:sz w:val="32"/>
          <w:szCs w:val="32"/>
        </w:rPr>
        <w:t xml:space="preserve">s </w:t>
      </w:r>
      <w:r>
        <w:rPr>
          <w:rFonts w:cs="Arial"/>
          <w:b w:val="0"/>
          <w:sz w:val="32"/>
          <w:szCs w:val="32"/>
        </w:rPr>
        <w:t>leaflet is based on patient education literature published</w:t>
      </w:r>
      <w:r w:rsidRPr="005463CC">
        <w:rPr>
          <w:rFonts w:cs="Arial"/>
          <w:b w:val="0"/>
          <w:sz w:val="32"/>
          <w:szCs w:val="32"/>
        </w:rPr>
        <w:t xml:space="preserve"> by the</w:t>
      </w:r>
      <w:r w:rsidR="005E1D4D">
        <w:rPr>
          <w:b w:val="0"/>
          <w:noProof/>
          <w:lang w:eastAsia="en-GB"/>
        </w:rPr>
        <w:drawing>
          <wp:anchor distT="0" distB="0" distL="114300" distR="114300" simplePos="0" relativeHeight="251657728" behindDoc="0" locked="1" layoutInCell="1" allowOverlap="1">
            <wp:simplePos x="0" y="0"/>
            <wp:positionH relativeFrom="column">
              <wp:posOffset>4998720</wp:posOffset>
            </wp:positionH>
            <wp:positionV relativeFrom="page">
              <wp:posOffset>6687820</wp:posOffset>
            </wp:positionV>
            <wp:extent cx="1352550" cy="742950"/>
            <wp:effectExtent l="19050" t="0" r="0" b="0"/>
            <wp:wrapSquare wrapText="left"/>
            <wp:docPr id="1" name="Picture 2" descr="Inernational Glaucoma Associat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ernational Glaucoma Association">
                      <a:hlinkClick r:id="rId9"/>
                    </pic:cNvPr>
                    <pic:cNvPicPr>
                      <a:picLocks noChangeAspect="1" noChangeArrowheads="1"/>
                    </pic:cNvPicPr>
                  </pic:nvPicPr>
                  <pic:blipFill>
                    <a:blip r:embed="rId10" r:link="rId11"/>
                    <a:srcRect/>
                    <a:stretch>
                      <a:fillRect/>
                    </a:stretch>
                  </pic:blipFill>
                  <pic:spPr bwMode="auto">
                    <a:xfrm>
                      <a:off x="0" y="0"/>
                      <a:ext cx="1352550" cy="742950"/>
                    </a:xfrm>
                    <a:prstGeom prst="rect">
                      <a:avLst/>
                    </a:prstGeom>
                    <a:noFill/>
                    <a:ln w="9525">
                      <a:noFill/>
                      <a:miter lim="800000"/>
                      <a:headEnd/>
                      <a:tailEnd/>
                    </a:ln>
                  </pic:spPr>
                </pic:pic>
              </a:graphicData>
            </a:graphic>
          </wp:anchor>
        </w:drawing>
      </w:r>
      <w:r w:rsidRPr="005463CC">
        <w:rPr>
          <w:rFonts w:cs="Arial"/>
          <w:b w:val="0"/>
          <w:sz w:val="32"/>
          <w:szCs w:val="32"/>
        </w:rPr>
        <w:t xml:space="preserve"> International Glaucoma Association</w:t>
      </w:r>
      <w:r>
        <w:rPr>
          <w:rFonts w:cs="Arial"/>
          <w:b w:val="0"/>
          <w:sz w:val="32"/>
          <w:szCs w:val="32"/>
        </w:rPr>
        <w:t xml:space="preserve"> (IGA)</w:t>
      </w:r>
      <w:r w:rsidRPr="005463CC">
        <w:rPr>
          <w:rFonts w:cs="Arial"/>
          <w:b w:val="0"/>
          <w:sz w:val="32"/>
          <w:szCs w:val="32"/>
        </w:rPr>
        <w:t xml:space="preserve">, but has been modified (with permission) by us to reflect local policies.  The International Glaucoma </w:t>
      </w:r>
      <w:r>
        <w:rPr>
          <w:rFonts w:cs="Arial"/>
          <w:b w:val="0"/>
          <w:sz w:val="32"/>
          <w:szCs w:val="32"/>
        </w:rPr>
        <w:t xml:space="preserve">Association </w:t>
      </w:r>
      <w:r w:rsidRPr="005463CC">
        <w:rPr>
          <w:rFonts w:cs="Arial"/>
          <w:b w:val="0"/>
          <w:sz w:val="32"/>
          <w:szCs w:val="32"/>
        </w:rPr>
        <w:t>web site (</w:t>
      </w:r>
      <w:hyperlink r:id="rId12" w:history="1">
        <w:r w:rsidRPr="005463CC">
          <w:rPr>
            <w:rStyle w:val="Hyperlink"/>
            <w:rFonts w:cs="Arial"/>
            <w:b w:val="0"/>
            <w:sz w:val="32"/>
            <w:szCs w:val="32"/>
          </w:rPr>
          <w:t>www.glaucoma-association.com</w:t>
        </w:r>
      </w:hyperlink>
      <w:r w:rsidRPr="005463CC">
        <w:rPr>
          <w:rFonts w:cs="Arial"/>
          <w:b w:val="0"/>
          <w:sz w:val="32"/>
          <w:szCs w:val="32"/>
        </w:rPr>
        <w:t xml:space="preserve">) has further information on all aspects of glaucoma issues. </w:t>
      </w:r>
    </w:p>
    <w:p w:rsidR="004A4A13" w:rsidRDefault="004A4A13" w:rsidP="004A4A13">
      <w:pPr>
        <w:pStyle w:val="Heading2"/>
        <w:rPr>
          <w:rFonts w:cs="Arial"/>
          <w:b w:val="0"/>
          <w:sz w:val="32"/>
          <w:szCs w:val="32"/>
        </w:rPr>
      </w:pPr>
      <w:r>
        <w:rPr>
          <w:rFonts w:cs="Arial"/>
          <w:b w:val="0"/>
          <w:sz w:val="32"/>
          <w:szCs w:val="32"/>
        </w:rPr>
        <w:t xml:space="preserve">The IGA is the charity for people with glaucoma. </w:t>
      </w:r>
    </w:p>
    <w:p w:rsidR="004A4A13" w:rsidRDefault="004A4A13" w:rsidP="004A4A13">
      <w:pPr>
        <w:pStyle w:val="Heading2"/>
        <w:rPr>
          <w:rFonts w:cs="Arial"/>
          <w:b w:val="0"/>
          <w:sz w:val="32"/>
          <w:szCs w:val="32"/>
        </w:rPr>
      </w:pPr>
      <w:r>
        <w:rPr>
          <w:rFonts w:cs="Arial"/>
          <w:b w:val="0"/>
          <w:sz w:val="32"/>
          <w:szCs w:val="32"/>
        </w:rPr>
        <w:t>Sightline: 01233 64 81 70 (Mon-Fri 9.30am-5.00pm)</w:t>
      </w:r>
    </w:p>
    <w:p w:rsidR="004A4A13" w:rsidRDefault="004A4A13" w:rsidP="004A4A13">
      <w:pPr>
        <w:pStyle w:val="Heading2"/>
        <w:rPr>
          <w:rFonts w:cs="Arial"/>
          <w:b w:val="0"/>
          <w:sz w:val="32"/>
          <w:szCs w:val="32"/>
        </w:rPr>
      </w:pPr>
      <w:r w:rsidRPr="000236C8">
        <w:rPr>
          <w:rFonts w:cs="Arial"/>
          <w:sz w:val="32"/>
          <w:szCs w:val="32"/>
        </w:rPr>
        <w:t>Our services are free of charge</w:t>
      </w:r>
      <w:r>
        <w:rPr>
          <w:rFonts w:cs="Arial"/>
          <w:sz w:val="32"/>
          <w:szCs w:val="32"/>
        </w:rPr>
        <w:t xml:space="preserve"> </w:t>
      </w:r>
      <w:r w:rsidRPr="000236C8">
        <w:rPr>
          <w:rFonts w:cs="Arial"/>
          <w:b w:val="0"/>
          <w:sz w:val="32"/>
          <w:szCs w:val="32"/>
        </w:rPr>
        <w:t xml:space="preserve">but if you would like to support our work you can </w:t>
      </w:r>
      <w:r w:rsidRPr="000236C8">
        <w:rPr>
          <w:rFonts w:cs="Arial"/>
          <w:sz w:val="32"/>
          <w:szCs w:val="32"/>
        </w:rPr>
        <w:t xml:space="preserve">make a donation or become a member </w:t>
      </w:r>
      <w:r>
        <w:rPr>
          <w:rFonts w:cs="Arial"/>
          <w:sz w:val="32"/>
          <w:szCs w:val="32"/>
        </w:rPr>
        <w:t>(</w:t>
      </w:r>
      <w:r w:rsidRPr="000236C8">
        <w:rPr>
          <w:rFonts w:cs="Arial"/>
          <w:b w:val="0"/>
          <w:sz w:val="32"/>
          <w:szCs w:val="32"/>
        </w:rPr>
        <w:t>and receive our quarterly magazine</w:t>
      </w:r>
      <w:r>
        <w:rPr>
          <w:rFonts w:cs="Arial"/>
          <w:b w:val="0"/>
          <w:sz w:val="32"/>
          <w:szCs w:val="32"/>
        </w:rPr>
        <w:t>)</w:t>
      </w:r>
      <w:r w:rsidRPr="000236C8">
        <w:rPr>
          <w:rFonts w:cs="Arial"/>
          <w:b w:val="0"/>
          <w:sz w:val="32"/>
          <w:szCs w:val="32"/>
        </w:rPr>
        <w:t>.</w:t>
      </w:r>
      <w:r>
        <w:rPr>
          <w:rFonts w:cs="Arial"/>
          <w:b w:val="0"/>
          <w:sz w:val="32"/>
          <w:szCs w:val="32"/>
        </w:rPr>
        <w:t xml:space="preserve"> For more information, contact us on 01233 64 81 64 or by e-mail at </w:t>
      </w:r>
      <w:hyperlink r:id="rId13" w:history="1">
        <w:r w:rsidRPr="00A868FE">
          <w:rPr>
            <w:rStyle w:val="Hyperlink"/>
            <w:rFonts w:cs="Arial"/>
            <w:b w:val="0"/>
            <w:sz w:val="32"/>
            <w:szCs w:val="32"/>
          </w:rPr>
          <w:t>info@iga.org.uk</w:t>
        </w:r>
      </w:hyperlink>
      <w:r>
        <w:rPr>
          <w:rFonts w:cs="Arial"/>
          <w:b w:val="0"/>
          <w:sz w:val="32"/>
          <w:szCs w:val="32"/>
        </w:rPr>
        <w:t xml:space="preserve"> </w:t>
      </w:r>
    </w:p>
    <w:p w:rsidR="004A4A13" w:rsidRDefault="004A4A13" w:rsidP="005A1C06"/>
    <w:p w:rsidR="004A4A13" w:rsidRDefault="004A4A13" w:rsidP="005A1C06"/>
    <w:p w:rsidR="004A4A13" w:rsidRDefault="004A4A13" w:rsidP="005A1C06"/>
    <w:p w:rsidR="004A4A13" w:rsidRPr="00AE7B19" w:rsidRDefault="004A4A13" w:rsidP="004A4A13">
      <w:pPr>
        <w:rPr>
          <w:rFonts w:cs="Arial"/>
          <w:sz w:val="32"/>
          <w:szCs w:val="32"/>
        </w:rPr>
      </w:pPr>
      <w:r w:rsidRPr="00AE7B19">
        <w:rPr>
          <w:rFonts w:cs="Arial"/>
          <w:b/>
          <w:sz w:val="32"/>
          <w:szCs w:val="32"/>
        </w:rPr>
        <w:t>Contact Details:</w:t>
      </w:r>
      <w:r w:rsidRPr="00AE7B19">
        <w:rPr>
          <w:rFonts w:cs="Arial"/>
          <w:b/>
          <w:sz w:val="32"/>
          <w:szCs w:val="32"/>
        </w:rPr>
        <w:cr/>
      </w:r>
      <w:r w:rsidRPr="00AE7B19">
        <w:rPr>
          <w:rFonts w:cs="Arial"/>
          <w:sz w:val="32"/>
          <w:szCs w:val="32"/>
        </w:rPr>
        <w:t xml:space="preserve"> </w:t>
      </w:r>
    </w:p>
    <w:p w:rsidR="004A4A13" w:rsidRPr="00AE7B19" w:rsidRDefault="004A4A13" w:rsidP="004A4A13">
      <w:pPr>
        <w:rPr>
          <w:rFonts w:cs="Arial"/>
          <w:sz w:val="32"/>
          <w:szCs w:val="32"/>
        </w:rPr>
      </w:pPr>
      <w:r w:rsidRPr="00AE7B19">
        <w:rPr>
          <w:rFonts w:cs="Arial"/>
          <w:b/>
          <w:sz w:val="32"/>
          <w:szCs w:val="32"/>
        </w:rPr>
        <w:t>Solihull eye clinic</w:t>
      </w:r>
      <w:r w:rsidRPr="00AE7B19">
        <w:rPr>
          <w:rFonts w:cs="Arial"/>
          <w:sz w:val="32"/>
          <w:szCs w:val="32"/>
        </w:rPr>
        <w:tab/>
      </w:r>
      <w:r w:rsidRPr="00AE7B19">
        <w:rPr>
          <w:rFonts w:cs="Arial"/>
          <w:sz w:val="32"/>
          <w:szCs w:val="32"/>
        </w:rPr>
        <w:tab/>
      </w:r>
      <w:r>
        <w:rPr>
          <w:rFonts w:cs="Arial"/>
          <w:sz w:val="32"/>
          <w:szCs w:val="32"/>
        </w:rPr>
        <w:tab/>
      </w:r>
      <w:r w:rsidRPr="00AE7B19">
        <w:rPr>
          <w:rFonts w:cs="Arial"/>
          <w:sz w:val="32"/>
          <w:szCs w:val="32"/>
        </w:rPr>
        <w:t xml:space="preserve">(0121) 424 </w:t>
      </w:r>
      <w:r>
        <w:rPr>
          <w:rFonts w:cs="Arial"/>
          <w:sz w:val="32"/>
          <w:szCs w:val="32"/>
        </w:rPr>
        <w:t>5063</w:t>
      </w:r>
    </w:p>
    <w:p w:rsidR="004A4A13" w:rsidRDefault="004A4A13" w:rsidP="004A4A13">
      <w:pPr>
        <w:rPr>
          <w:rFonts w:cs="Arial"/>
          <w:sz w:val="32"/>
          <w:szCs w:val="32"/>
        </w:rPr>
      </w:pPr>
      <w:r w:rsidRPr="00AE7B19">
        <w:rPr>
          <w:rFonts w:cs="Arial"/>
          <w:b/>
          <w:sz w:val="32"/>
          <w:szCs w:val="32"/>
        </w:rPr>
        <w:t>Heartlands eye clinic</w:t>
      </w:r>
      <w:r w:rsidRPr="00AE7B19">
        <w:rPr>
          <w:rFonts w:cs="Arial"/>
          <w:b/>
          <w:sz w:val="32"/>
          <w:szCs w:val="32"/>
        </w:rPr>
        <w:tab/>
      </w:r>
      <w:r>
        <w:rPr>
          <w:rFonts w:cs="Arial"/>
          <w:b/>
          <w:sz w:val="32"/>
          <w:szCs w:val="32"/>
        </w:rPr>
        <w:tab/>
      </w:r>
      <w:r w:rsidRPr="00AE7B19">
        <w:rPr>
          <w:rFonts w:cs="Arial"/>
          <w:sz w:val="32"/>
          <w:szCs w:val="32"/>
        </w:rPr>
        <w:t>(0121) 424 0543</w:t>
      </w:r>
      <w:r>
        <w:rPr>
          <w:rFonts w:cs="Arial"/>
          <w:sz w:val="32"/>
          <w:szCs w:val="32"/>
        </w:rPr>
        <w:t xml:space="preserve"> Mon, Tue and Friday</w:t>
      </w:r>
    </w:p>
    <w:p w:rsidR="004A4A13" w:rsidRDefault="004A4A13" w:rsidP="004A4A13">
      <w:pPr>
        <w:rPr>
          <w:rFonts w:cs="Arial"/>
          <w:sz w:val="32"/>
          <w:szCs w:val="32"/>
        </w:rPr>
      </w:pPr>
      <w:r w:rsidRPr="005463CC">
        <w:rPr>
          <w:rFonts w:cs="Arial"/>
          <w:b/>
          <w:sz w:val="32"/>
          <w:szCs w:val="32"/>
        </w:rPr>
        <w:t>Heartlands answerphone</w:t>
      </w:r>
      <w:r>
        <w:rPr>
          <w:rFonts w:cs="Arial"/>
          <w:sz w:val="32"/>
          <w:szCs w:val="32"/>
        </w:rPr>
        <w:tab/>
      </w:r>
      <w:r w:rsidR="002976B3">
        <w:rPr>
          <w:rFonts w:cs="Arial"/>
          <w:sz w:val="32"/>
          <w:szCs w:val="32"/>
        </w:rPr>
        <w:t>(</w:t>
      </w:r>
      <w:r>
        <w:rPr>
          <w:rFonts w:cs="Arial"/>
          <w:sz w:val="32"/>
          <w:szCs w:val="32"/>
        </w:rPr>
        <w:t>0121</w:t>
      </w:r>
      <w:r w:rsidR="002976B3">
        <w:rPr>
          <w:rFonts w:cs="Arial"/>
          <w:sz w:val="32"/>
          <w:szCs w:val="32"/>
        </w:rPr>
        <w:t>)</w:t>
      </w:r>
      <w:r>
        <w:rPr>
          <w:rFonts w:cs="Arial"/>
          <w:sz w:val="32"/>
          <w:szCs w:val="32"/>
        </w:rPr>
        <w:t xml:space="preserve"> 424 0974</w:t>
      </w:r>
    </w:p>
    <w:p w:rsidR="002976B3" w:rsidRPr="002976B3" w:rsidRDefault="002976B3" w:rsidP="004A4A13">
      <w:pPr>
        <w:rPr>
          <w:rFonts w:cs="Arial"/>
          <w:b/>
          <w:sz w:val="32"/>
          <w:szCs w:val="32"/>
        </w:rPr>
      </w:pPr>
      <w:r w:rsidRPr="002976B3">
        <w:rPr>
          <w:rFonts w:cs="Arial"/>
          <w:b/>
          <w:sz w:val="32"/>
          <w:szCs w:val="32"/>
        </w:rPr>
        <w:t>Good Hope Eye Clinic</w:t>
      </w:r>
      <w:r>
        <w:rPr>
          <w:rFonts w:cs="Arial"/>
          <w:b/>
          <w:sz w:val="32"/>
          <w:szCs w:val="32"/>
        </w:rPr>
        <w:tab/>
      </w:r>
      <w:r>
        <w:rPr>
          <w:rFonts w:cs="Arial"/>
          <w:b/>
          <w:sz w:val="32"/>
          <w:szCs w:val="32"/>
        </w:rPr>
        <w:tab/>
        <w:t>(0121) 424 7664</w:t>
      </w:r>
    </w:p>
    <w:p w:rsidR="004A4A13" w:rsidRPr="00AE7B19" w:rsidRDefault="004A4A13" w:rsidP="004A4A13">
      <w:pPr>
        <w:rPr>
          <w:rFonts w:cs="Arial"/>
          <w:sz w:val="32"/>
          <w:szCs w:val="32"/>
        </w:rPr>
      </w:pPr>
    </w:p>
    <w:p w:rsidR="004A4A13" w:rsidRDefault="004A4A13" w:rsidP="004A4A13">
      <w:pPr>
        <w:rPr>
          <w:rFonts w:cs="Arial"/>
          <w:sz w:val="32"/>
          <w:szCs w:val="32"/>
        </w:rPr>
      </w:pPr>
      <w:r>
        <w:rPr>
          <w:rFonts w:cs="Arial"/>
          <w:sz w:val="32"/>
          <w:szCs w:val="32"/>
        </w:rPr>
        <w:t>Please ask for the Glaucoma clinical nurse specialist.</w:t>
      </w:r>
    </w:p>
    <w:p w:rsidR="004A4A13" w:rsidRPr="00A50370" w:rsidRDefault="004A4A13">
      <w:pPr>
        <w:tabs>
          <w:tab w:val="left" w:pos="0"/>
          <w:tab w:val="center" w:pos="4140"/>
          <w:tab w:val="right" w:pos="8300"/>
        </w:tabs>
        <w:rPr>
          <w:rFonts w:cs="Arial"/>
          <w:i/>
          <w:szCs w:val="24"/>
          <w:u w:val="single"/>
        </w:rPr>
      </w:pPr>
    </w:p>
    <w:sectPr w:rsidR="004A4A13" w:rsidRPr="00A50370" w:rsidSect="006C6F17">
      <w:headerReference w:type="default" r:id="rId14"/>
      <w:type w:val="continuous"/>
      <w:pgSz w:w="11906" w:h="16838" w:code="9"/>
      <w:pgMar w:top="964" w:right="964" w:bottom="964" w:left="964" w:header="792" w:footer="79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BD8" w:rsidRDefault="00D30BD8">
      <w:r>
        <w:separator/>
      </w:r>
    </w:p>
  </w:endnote>
  <w:endnote w:type="continuationSeparator" w:id="1">
    <w:p w:rsidR="00D30BD8" w:rsidRDefault="00D30B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073" w:rsidRDefault="00995073">
    <w:pPr>
      <w:pStyle w:val="Footer"/>
      <w:tabs>
        <w:tab w:val="clear" w:pos="4153"/>
        <w:tab w:val="clear" w:pos="8306"/>
      </w:tabs>
      <w:rPr>
        <w:sz w:val="16"/>
      </w:rPr>
    </w:pPr>
    <w:r>
      <w:rPr>
        <w:noProof/>
        <w:sz w:val="16"/>
      </w:rPr>
      <w:pict>
        <v:line id="_x0000_s2050" style="position:absolute;z-index:251657728;mso-position-vertical-relative:page" from="3.05pt,783pt" to="499.85pt,783pt" o:allowincell="f">
          <w10:wrap type="square" side="right" anchory="page"/>
          <w10:anchorlock/>
        </v:line>
      </w:pict>
    </w:r>
    <w:r w:rsidR="00F33671">
      <w:rPr>
        <w:sz w:val="16"/>
      </w:rPr>
      <w:t>Pigmentary Glaucoma</w:t>
    </w:r>
    <w:r w:rsidR="00A01431">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Page   </w:t>
    </w:r>
    <w:r>
      <w:rPr>
        <w:rStyle w:val="PageNumber"/>
        <w:sz w:val="16"/>
      </w:rPr>
      <w:fldChar w:fldCharType="begin"/>
    </w:r>
    <w:r>
      <w:rPr>
        <w:rStyle w:val="PageNumber"/>
        <w:sz w:val="16"/>
      </w:rPr>
      <w:instrText xml:space="preserve"> PAGE </w:instrText>
    </w:r>
    <w:r>
      <w:rPr>
        <w:rStyle w:val="PageNumber"/>
        <w:sz w:val="16"/>
      </w:rPr>
      <w:fldChar w:fldCharType="separate"/>
    </w:r>
    <w:r w:rsidR="005D270C">
      <w:rPr>
        <w:rStyle w:val="PageNumber"/>
        <w:noProof/>
        <w:sz w:val="16"/>
      </w:rPr>
      <w:t>1</w:t>
    </w:r>
    <w:r>
      <w:rPr>
        <w:rStyle w:val="PageNumber"/>
        <w:sz w:val="16"/>
      </w:rPr>
      <w:fldChar w:fldCharType="end"/>
    </w:r>
    <w:r>
      <w:rPr>
        <w:rStyle w:val="PageNumber"/>
        <w:sz w:val="16"/>
      </w:rPr>
      <w:t xml:space="preserve"> of </w:t>
    </w:r>
    <w:r w:rsidR="004A4A13">
      <w:rPr>
        <w:rStyle w:val="PageNumber"/>
        <w:sz w:val="16"/>
      </w:rPr>
      <w:t>3</w:t>
    </w:r>
    <w:r>
      <w:rPr>
        <w:sz w:val="16"/>
      </w:rPr>
      <w:t xml:space="preserve">    </w:t>
    </w:r>
  </w:p>
  <w:p w:rsidR="00995073" w:rsidRDefault="00995073">
    <w:pPr>
      <w:pStyle w:val="Footer"/>
      <w:tabs>
        <w:tab w:val="clear" w:pos="4153"/>
        <w:tab w:val="clear" w:pos="8306"/>
      </w:tabs>
      <w:rPr>
        <w:sz w:val="16"/>
      </w:rPr>
    </w:pPr>
    <w:r>
      <w:rPr>
        <w:sz w:val="16"/>
      </w:rPr>
      <w:t xml:space="preserve">Version </w:t>
    </w:r>
    <w:r w:rsidR="005A1C06">
      <w:rPr>
        <w:sz w:val="16"/>
      </w:rPr>
      <w:t xml:space="preserve">1 </w:t>
    </w:r>
    <w:r w:rsidR="00716DF3">
      <w:rPr>
        <w:sz w:val="16"/>
      </w:rPr>
      <w:t xml:space="preserve">May 2010, </w:t>
    </w:r>
    <w:r>
      <w:rPr>
        <w:sz w:val="16"/>
      </w:rPr>
      <w:t xml:space="preserve">Next revision </w:t>
    </w:r>
    <w:r w:rsidR="005A1C06">
      <w:rPr>
        <w:sz w:val="16"/>
      </w:rPr>
      <w:t>date November</w:t>
    </w:r>
    <w:r>
      <w:rPr>
        <w:sz w:val="16"/>
      </w:rPr>
      <w:t xml:space="preserve"> 201</w:t>
    </w:r>
    <w:r w:rsidR="005A1C06">
      <w:rPr>
        <w:sz w:val="16"/>
      </w:rP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BD8" w:rsidRDefault="00D30BD8">
      <w:r>
        <w:separator/>
      </w:r>
    </w:p>
  </w:footnote>
  <w:footnote w:type="continuationSeparator" w:id="1">
    <w:p w:rsidR="00D30BD8" w:rsidRDefault="00D30B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073" w:rsidRDefault="00995073">
    <w:pPr>
      <w:pStyle w:val="BodyText"/>
      <w:rPr>
        <w:b/>
        <w:sz w:val="28"/>
      </w:rPr>
    </w:pPr>
    <w:r>
      <w:rPr>
        <w:b/>
        <w:sz w:val="28"/>
      </w:rPr>
      <w:t>Directorate of Ophthalmology</w:t>
    </w:r>
  </w:p>
  <w:p w:rsidR="00995073" w:rsidRDefault="005E1D4D">
    <w:pPr>
      <w:pStyle w:val="BodyText"/>
      <w:rPr>
        <w:b/>
        <w:sz w:val="28"/>
      </w:rPr>
    </w:pPr>
    <w:r>
      <w:rPr>
        <w:b/>
        <w:noProof/>
        <w:sz w:val="28"/>
        <w:lang w:eastAsia="en-GB"/>
      </w:rPr>
      <w:drawing>
        <wp:anchor distT="0" distB="0" distL="114300" distR="114300" simplePos="0" relativeHeight="251659776" behindDoc="0" locked="1" layoutInCell="1" allowOverlap="1">
          <wp:simplePos x="0" y="0"/>
          <wp:positionH relativeFrom="column">
            <wp:posOffset>3516630</wp:posOffset>
          </wp:positionH>
          <wp:positionV relativeFrom="page">
            <wp:posOffset>514350</wp:posOffset>
          </wp:positionV>
          <wp:extent cx="2820670" cy="571500"/>
          <wp:effectExtent l="19050" t="0" r="0" b="0"/>
          <wp:wrapSquare wrapText="left"/>
          <wp:docPr id="14" name="Picture 1" descr="hefttru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fttrustlogo.jpg"/>
                  <pic:cNvPicPr>
                    <a:picLocks noChangeAspect="1" noChangeArrowheads="1"/>
                  </pic:cNvPicPr>
                </pic:nvPicPr>
                <pic:blipFill>
                  <a:blip r:embed="rId1"/>
                  <a:srcRect/>
                  <a:stretch>
                    <a:fillRect/>
                  </a:stretch>
                </pic:blipFill>
                <pic:spPr bwMode="auto">
                  <a:xfrm>
                    <a:off x="0" y="0"/>
                    <a:ext cx="2820670" cy="571500"/>
                  </a:xfrm>
                  <a:prstGeom prst="rect">
                    <a:avLst/>
                  </a:prstGeom>
                  <a:noFill/>
                  <a:ln w="9525">
                    <a:noFill/>
                    <a:miter lim="800000"/>
                    <a:headEnd/>
                    <a:tailEnd/>
                  </a:ln>
                </pic:spPr>
              </pic:pic>
            </a:graphicData>
          </a:graphic>
        </wp:anchor>
      </w:drawing>
    </w:r>
    <w:smartTag w:uri="urn:schemas-microsoft-com:office:smarttags" w:element="place">
      <w:r w:rsidR="00995073">
        <w:rPr>
          <w:b/>
          <w:sz w:val="28"/>
        </w:rPr>
        <w:t>Solihull</w:t>
      </w:r>
    </w:smartTag>
    <w:r w:rsidR="00995073">
      <w:rPr>
        <w:b/>
        <w:sz w:val="28"/>
      </w:rPr>
      <w:t xml:space="preserve"> Clinic       0121 424 4463</w:t>
    </w:r>
  </w:p>
  <w:p w:rsidR="004F04D7" w:rsidRPr="004F04D7" w:rsidRDefault="004F04D7" w:rsidP="004F04D7">
    <w:pPr>
      <w:rPr>
        <w:rFonts w:cs="Arial"/>
        <w:sz w:val="28"/>
        <w:szCs w:val="28"/>
      </w:rPr>
    </w:pPr>
    <w:r w:rsidRPr="004F04D7">
      <w:rPr>
        <w:rFonts w:cs="Arial"/>
        <w:b/>
        <w:sz w:val="28"/>
        <w:szCs w:val="28"/>
      </w:rPr>
      <w:t xml:space="preserve">Good Hope </w:t>
    </w:r>
    <w:r w:rsidRPr="004F04D7">
      <w:rPr>
        <w:rFonts w:cs="Arial"/>
        <w:sz w:val="28"/>
        <w:szCs w:val="28"/>
      </w:rPr>
      <w:tab/>
    </w:r>
    <w:r>
      <w:rPr>
        <w:rFonts w:cs="Arial"/>
        <w:sz w:val="28"/>
        <w:szCs w:val="28"/>
      </w:rPr>
      <w:t xml:space="preserve">   </w:t>
    </w:r>
    <w:r w:rsidRPr="004F04D7">
      <w:rPr>
        <w:rFonts w:cs="Arial"/>
        <w:b/>
        <w:sz w:val="28"/>
        <w:szCs w:val="28"/>
      </w:rPr>
      <w:t>0121 424 7664</w:t>
    </w:r>
  </w:p>
  <w:p w:rsidR="00995073" w:rsidRDefault="00995073">
    <w:pPr>
      <w:pStyle w:val="Header"/>
      <w:rPr>
        <w:b/>
      </w:rPr>
    </w:pPr>
    <w:r>
      <w:rPr>
        <w:b/>
        <w:sz w:val="28"/>
      </w:rPr>
      <w:t>Heartlands Clinic 0121 424 3535</w:t>
    </w:r>
  </w:p>
  <w:p w:rsidR="00995073" w:rsidRDefault="00995073">
    <w:pPr>
      <w:pStyle w:val="Header"/>
      <w:rPr>
        <w:color w:val="0000FF"/>
        <w:sz w:val="32"/>
      </w:rPr>
    </w:pPr>
    <w:r>
      <w:rPr>
        <w:b/>
        <w:noProof/>
        <w:color w:val="0000FF"/>
        <w:sz w:val="32"/>
      </w:rPr>
      <w:pict>
        <v:line id="_x0000_s2049" style="position:absolute;z-index:251655680" from="-5pt,18.4pt" to="499pt,18.4pt" o:allowincell="f"/>
      </w:pict>
    </w:r>
    <w:r>
      <w:rPr>
        <w:b/>
        <w:color w:val="0000FF"/>
        <w:sz w:val="32"/>
      </w:rPr>
      <w:t>Information for Patients</w:t>
    </w:r>
    <w:r>
      <w:rPr>
        <w:noProof/>
        <w:color w:val="0000FF"/>
        <w:sz w:val="3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073" w:rsidRDefault="00995073">
    <w:pPr>
      <w:pStyle w:val="Header"/>
      <w:rPr>
        <w:color w:val="0000FF"/>
        <w:sz w:val="32"/>
      </w:rPr>
    </w:pPr>
    <w:r>
      <w:rPr>
        <w:b/>
        <w:noProof/>
        <w:color w:val="0000FF"/>
        <w:sz w:val="32"/>
      </w:rPr>
      <w:pict>
        <v:line id="_x0000_s2051" style="position:absolute;z-index:251656704" from="-5pt,18.4pt" to="499pt,18.4pt" o:allowincell="f"/>
      </w:pict>
    </w:r>
    <w:r>
      <w:rPr>
        <w:b/>
        <w:color w:val="0000FF"/>
        <w:sz w:val="32"/>
      </w:rPr>
      <w:t>Information for Patients</w:t>
    </w:r>
    <w:r>
      <w:rPr>
        <w:noProof/>
        <w:color w:val="0000FF"/>
        <w:sz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555F"/>
    <w:multiLevelType w:val="hybridMultilevel"/>
    <w:tmpl w:val="A86C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342B03"/>
    <w:multiLevelType w:val="singleLevel"/>
    <w:tmpl w:val="12303128"/>
    <w:lvl w:ilvl="0">
      <w:numFmt w:val="bullet"/>
      <w:lvlText w:val="-"/>
      <w:lvlJc w:val="left"/>
      <w:pPr>
        <w:tabs>
          <w:tab w:val="num" w:pos="360"/>
        </w:tabs>
        <w:ind w:left="360" w:hanging="360"/>
      </w:pPr>
      <w:rPr>
        <w:rFonts w:hint="default"/>
      </w:rPr>
    </w:lvl>
  </w:abstractNum>
  <w:abstractNum w:abstractNumId="2">
    <w:nsid w:val="0DF81106"/>
    <w:multiLevelType w:val="multilevel"/>
    <w:tmpl w:val="B34CFA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160C6E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174724BC"/>
    <w:multiLevelType w:val="hybridMultilevel"/>
    <w:tmpl w:val="13E8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AD4EA5"/>
    <w:multiLevelType w:val="singleLevel"/>
    <w:tmpl w:val="12303128"/>
    <w:lvl w:ilvl="0">
      <w:numFmt w:val="bullet"/>
      <w:lvlText w:val="-"/>
      <w:lvlJc w:val="left"/>
      <w:pPr>
        <w:tabs>
          <w:tab w:val="num" w:pos="360"/>
        </w:tabs>
        <w:ind w:left="360" w:hanging="360"/>
      </w:pPr>
      <w:rPr>
        <w:rFonts w:hint="default"/>
      </w:rPr>
    </w:lvl>
  </w:abstractNum>
  <w:abstractNum w:abstractNumId="6">
    <w:nsid w:val="18D26743"/>
    <w:multiLevelType w:val="multilevel"/>
    <w:tmpl w:val="247ACFC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DB02124"/>
    <w:multiLevelType w:val="multilevel"/>
    <w:tmpl w:val="7330604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0505B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21EF15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360452F"/>
    <w:multiLevelType w:val="hybridMultilevel"/>
    <w:tmpl w:val="9B8A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294B40"/>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12">
    <w:nsid w:val="32453F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33C260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37C06F38"/>
    <w:multiLevelType w:val="singleLevel"/>
    <w:tmpl w:val="C890E38A"/>
    <w:lvl w:ilvl="0">
      <w:start w:val="1"/>
      <w:numFmt w:val="bullet"/>
      <w:lvlText w:val=""/>
      <w:lvlJc w:val="left"/>
      <w:pPr>
        <w:tabs>
          <w:tab w:val="num" w:pos="360"/>
        </w:tabs>
        <w:ind w:left="360" w:hanging="360"/>
      </w:pPr>
      <w:rPr>
        <w:rFonts w:ascii="Symbol" w:hAnsi="Symbol" w:hint="default"/>
        <w:sz w:val="28"/>
      </w:rPr>
    </w:lvl>
  </w:abstractNum>
  <w:abstractNum w:abstractNumId="15">
    <w:nsid w:val="38E97D08"/>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16">
    <w:nsid w:val="3AE3561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DA0712D"/>
    <w:multiLevelType w:val="hybridMultilevel"/>
    <w:tmpl w:val="2942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1981B0B"/>
    <w:multiLevelType w:val="hybridMultilevel"/>
    <w:tmpl w:val="57ACD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2FC6DDD"/>
    <w:multiLevelType w:val="singleLevel"/>
    <w:tmpl w:val="12303128"/>
    <w:lvl w:ilvl="0">
      <w:numFmt w:val="bullet"/>
      <w:lvlText w:val="-"/>
      <w:lvlJc w:val="left"/>
      <w:pPr>
        <w:tabs>
          <w:tab w:val="num" w:pos="360"/>
        </w:tabs>
        <w:ind w:left="360" w:hanging="360"/>
      </w:pPr>
      <w:rPr>
        <w:rFonts w:hint="default"/>
      </w:rPr>
    </w:lvl>
  </w:abstractNum>
  <w:abstractNum w:abstractNumId="20">
    <w:nsid w:val="464F7778"/>
    <w:multiLevelType w:val="singleLevel"/>
    <w:tmpl w:val="12303128"/>
    <w:lvl w:ilvl="0">
      <w:numFmt w:val="bullet"/>
      <w:lvlText w:val="-"/>
      <w:lvlJc w:val="left"/>
      <w:pPr>
        <w:tabs>
          <w:tab w:val="num" w:pos="360"/>
        </w:tabs>
        <w:ind w:left="360" w:hanging="360"/>
      </w:pPr>
      <w:rPr>
        <w:rFonts w:hint="default"/>
      </w:rPr>
    </w:lvl>
  </w:abstractNum>
  <w:abstractNum w:abstractNumId="21">
    <w:nsid w:val="49046DF3"/>
    <w:multiLevelType w:val="singleLevel"/>
    <w:tmpl w:val="CDA85162"/>
    <w:lvl w:ilvl="0">
      <w:start w:val="1"/>
      <w:numFmt w:val="bullet"/>
      <w:lvlText w:val=""/>
      <w:lvlJc w:val="left"/>
      <w:pPr>
        <w:tabs>
          <w:tab w:val="num" w:pos="720"/>
        </w:tabs>
        <w:ind w:left="720" w:hanging="720"/>
      </w:pPr>
      <w:rPr>
        <w:rFonts w:ascii="Monotype Sorts" w:hAnsi="Monotype Sorts" w:hint="default"/>
      </w:rPr>
    </w:lvl>
  </w:abstractNum>
  <w:abstractNum w:abstractNumId="22">
    <w:nsid w:val="4A0C6B8C"/>
    <w:multiLevelType w:val="singleLevel"/>
    <w:tmpl w:val="3496CEE4"/>
    <w:lvl w:ilvl="0">
      <w:start w:val="1"/>
      <w:numFmt w:val="bullet"/>
      <w:lvlText w:val=""/>
      <w:lvlJc w:val="left"/>
      <w:pPr>
        <w:tabs>
          <w:tab w:val="num" w:pos="720"/>
        </w:tabs>
        <w:ind w:left="720" w:hanging="720"/>
      </w:pPr>
      <w:rPr>
        <w:rFonts w:ascii="Monotype Sorts" w:hAnsi="Monotype Sorts" w:hint="default"/>
      </w:rPr>
    </w:lvl>
  </w:abstractNum>
  <w:abstractNum w:abstractNumId="23">
    <w:nsid w:val="503C5D0E"/>
    <w:multiLevelType w:val="hybridMultilevel"/>
    <w:tmpl w:val="85C085B0"/>
    <w:lvl w:ilvl="0" w:tplc="10A4E1A2">
      <w:numFmt w:val="bullet"/>
      <w:lvlText w:val=""/>
      <w:lvlJc w:val="left"/>
      <w:pPr>
        <w:ind w:left="720" w:hanging="36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nsid w:val="5D9F61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EA64265"/>
    <w:multiLevelType w:val="singleLevel"/>
    <w:tmpl w:val="1A6AD71A"/>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26">
    <w:nsid w:val="61E716F0"/>
    <w:multiLevelType w:val="singleLevel"/>
    <w:tmpl w:val="CDA85162"/>
    <w:lvl w:ilvl="0">
      <w:start w:val="1"/>
      <w:numFmt w:val="bullet"/>
      <w:lvlText w:val=""/>
      <w:lvlJc w:val="left"/>
      <w:pPr>
        <w:tabs>
          <w:tab w:val="num" w:pos="720"/>
        </w:tabs>
        <w:ind w:left="720" w:hanging="720"/>
      </w:pPr>
      <w:rPr>
        <w:rFonts w:ascii="Monotype Sorts" w:hAnsi="Monotype Sorts" w:hint="default"/>
      </w:rPr>
    </w:lvl>
  </w:abstractNum>
  <w:abstractNum w:abstractNumId="27">
    <w:nsid w:val="62285E26"/>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28">
    <w:nsid w:val="62BE6E28"/>
    <w:multiLevelType w:val="hybridMultilevel"/>
    <w:tmpl w:val="9CEA4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46F4FAB"/>
    <w:multiLevelType w:val="singleLevel"/>
    <w:tmpl w:val="12303128"/>
    <w:lvl w:ilvl="0">
      <w:numFmt w:val="bullet"/>
      <w:lvlText w:val="-"/>
      <w:lvlJc w:val="left"/>
      <w:pPr>
        <w:tabs>
          <w:tab w:val="num" w:pos="360"/>
        </w:tabs>
        <w:ind w:left="360" w:hanging="360"/>
      </w:pPr>
      <w:rPr>
        <w:rFonts w:hint="default"/>
      </w:rPr>
    </w:lvl>
  </w:abstractNum>
  <w:abstractNum w:abstractNumId="30">
    <w:nsid w:val="69052370"/>
    <w:multiLevelType w:val="singleLevel"/>
    <w:tmpl w:val="1A6AD71A"/>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31">
    <w:nsid w:val="7C3A2045"/>
    <w:multiLevelType w:val="hybridMultilevel"/>
    <w:tmpl w:val="820E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6B27B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4"/>
  </w:num>
  <w:num w:numId="2">
    <w:abstractNumId w:val="13"/>
  </w:num>
  <w:num w:numId="3">
    <w:abstractNumId w:val="29"/>
  </w:num>
  <w:num w:numId="4">
    <w:abstractNumId w:val="5"/>
  </w:num>
  <w:num w:numId="5">
    <w:abstractNumId w:val="24"/>
  </w:num>
  <w:num w:numId="6">
    <w:abstractNumId w:val="2"/>
  </w:num>
  <w:num w:numId="7">
    <w:abstractNumId w:val="7"/>
  </w:num>
  <w:num w:numId="8">
    <w:abstractNumId w:val="9"/>
  </w:num>
  <w:num w:numId="9">
    <w:abstractNumId w:val="20"/>
  </w:num>
  <w:num w:numId="10">
    <w:abstractNumId w:val="1"/>
  </w:num>
  <w:num w:numId="11">
    <w:abstractNumId w:val="19"/>
  </w:num>
  <w:num w:numId="12">
    <w:abstractNumId w:val="3"/>
  </w:num>
  <w:num w:numId="13">
    <w:abstractNumId w:val="6"/>
  </w:num>
  <w:num w:numId="14">
    <w:abstractNumId w:val="32"/>
  </w:num>
  <w:num w:numId="15">
    <w:abstractNumId w:val="8"/>
  </w:num>
  <w:num w:numId="16">
    <w:abstractNumId w:val="12"/>
  </w:num>
  <w:num w:numId="17">
    <w:abstractNumId w:val="16"/>
  </w:num>
  <w:num w:numId="18">
    <w:abstractNumId w:val="15"/>
  </w:num>
  <w:num w:numId="19">
    <w:abstractNumId w:val="27"/>
  </w:num>
  <w:num w:numId="20">
    <w:abstractNumId w:val="11"/>
  </w:num>
  <w:num w:numId="21">
    <w:abstractNumId w:val="25"/>
  </w:num>
  <w:num w:numId="22">
    <w:abstractNumId w:val="30"/>
  </w:num>
  <w:num w:numId="23">
    <w:abstractNumId w:val="21"/>
  </w:num>
  <w:num w:numId="24">
    <w:abstractNumId w:val="26"/>
  </w:num>
  <w:num w:numId="25">
    <w:abstractNumId w:val="22"/>
  </w:num>
  <w:num w:numId="26">
    <w:abstractNumId w:val="10"/>
  </w:num>
  <w:num w:numId="27">
    <w:abstractNumId w:val="18"/>
  </w:num>
  <w:num w:numId="28">
    <w:abstractNumId w:val="4"/>
  </w:num>
  <w:num w:numId="29">
    <w:abstractNumId w:val="0"/>
  </w:num>
  <w:num w:numId="30">
    <w:abstractNumId w:val="31"/>
  </w:num>
  <w:num w:numId="31">
    <w:abstractNumId w:val="17"/>
  </w:num>
  <w:num w:numId="32">
    <w:abstractNumId w:val="28"/>
  </w:num>
  <w:num w:numId="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2052">
      <o:colormru v:ext="edit" colors="#ddd"/>
    </o:shapedefaults>
    <o:shapelayout v:ext="edit">
      <o:idmap v:ext="edit" data="2"/>
    </o:shapelayout>
  </w:hdrShapeDefaults>
  <w:footnotePr>
    <w:footnote w:id="0"/>
    <w:footnote w:id="1"/>
  </w:footnotePr>
  <w:endnotePr>
    <w:endnote w:id="0"/>
    <w:endnote w:id="1"/>
  </w:endnotePr>
  <w:compat/>
  <w:rsids>
    <w:rsidRoot w:val="005E33C7"/>
    <w:rsid w:val="00040487"/>
    <w:rsid w:val="000C3A1F"/>
    <w:rsid w:val="000D1874"/>
    <w:rsid w:val="000F48B2"/>
    <w:rsid w:val="00131729"/>
    <w:rsid w:val="0014246A"/>
    <w:rsid w:val="00151634"/>
    <w:rsid w:val="0017554E"/>
    <w:rsid w:val="001A0F3A"/>
    <w:rsid w:val="001A3C47"/>
    <w:rsid w:val="001C3646"/>
    <w:rsid w:val="001F7F7D"/>
    <w:rsid w:val="002976B3"/>
    <w:rsid w:val="002C3AD1"/>
    <w:rsid w:val="003054F8"/>
    <w:rsid w:val="00311393"/>
    <w:rsid w:val="00332B31"/>
    <w:rsid w:val="00376140"/>
    <w:rsid w:val="00382E0A"/>
    <w:rsid w:val="003A4A31"/>
    <w:rsid w:val="003C755F"/>
    <w:rsid w:val="003D4C8A"/>
    <w:rsid w:val="003F3399"/>
    <w:rsid w:val="00426EA7"/>
    <w:rsid w:val="00445B7D"/>
    <w:rsid w:val="004A4A13"/>
    <w:rsid w:val="004B459A"/>
    <w:rsid w:val="004D27A5"/>
    <w:rsid w:val="004F04D7"/>
    <w:rsid w:val="004F2B7E"/>
    <w:rsid w:val="004F3BC3"/>
    <w:rsid w:val="005111AC"/>
    <w:rsid w:val="00540D99"/>
    <w:rsid w:val="005463CC"/>
    <w:rsid w:val="005A099D"/>
    <w:rsid w:val="005A1C06"/>
    <w:rsid w:val="005A526F"/>
    <w:rsid w:val="005B1F36"/>
    <w:rsid w:val="005C4397"/>
    <w:rsid w:val="005D270C"/>
    <w:rsid w:val="005E1D4D"/>
    <w:rsid w:val="005E33C7"/>
    <w:rsid w:val="00641ABA"/>
    <w:rsid w:val="00694903"/>
    <w:rsid w:val="006C6F17"/>
    <w:rsid w:val="006D2FD2"/>
    <w:rsid w:val="006D3753"/>
    <w:rsid w:val="006F5315"/>
    <w:rsid w:val="00716DF3"/>
    <w:rsid w:val="00776C8A"/>
    <w:rsid w:val="007C2514"/>
    <w:rsid w:val="007C7054"/>
    <w:rsid w:val="007D11B1"/>
    <w:rsid w:val="007D19DE"/>
    <w:rsid w:val="00800304"/>
    <w:rsid w:val="00810F4D"/>
    <w:rsid w:val="00830276"/>
    <w:rsid w:val="00866A23"/>
    <w:rsid w:val="00866DEB"/>
    <w:rsid w:val="008A17A2"/>
    <w:rsid w:val="008B1C33"/>
    <w:rsid w:val="008B519C"/>
    <w:rsid w:val="008F7211"/>
    <w:rsid w:val="0090027B"/>
    <w:rsid w:val="00924CE9"/>
    <w:rsid w:val="00995073"/>
    <w:rsid w:val="009A1DF8"/>
    <w:rsid w:val="009B3659"/>
    <w:rsid w:val="009C38AB"/>
    <w:rsid w:val="009C41C3"/>
    <w:rsid w:val="00A01431"/>
    <w:rsid w:val="00A0626E"/>
    <w:rsid w:val="00A25ACB"/>
    <w:rsid w:val="00A362B3"/>
    <w:rsid w:val="00A50370"/>
    <w:rsid w:val="00A53AE3"/>
    <w:rsid w:val="00A60134"/>
    <w:rsid w:val="00A93F92"/>
    <w:rsid w:val="00A953D5"/>
    <w:rsid w:val="00AA3AD0"/>
    <w:rsid w:val="00AE7B19"/>
    <w:rsid w:val="00B04D3A"/>
    <w:rsid w:val="00B060E1"/>
    <w:rsid w:val="00B83276"/>
    <w:rsid w:val="00BD67C7"/>
    <w:rsid w:val="00BE6C18"/>
    <w:rsid w:val="00C21123"/>
    <w:rsid w:val="00C32636"/>
    <w:rsid w:val="00C46106"/>
    <w:rsid w:val="00C72D55"/>
    <w:rsid w:val="00C85C34"/>
    <w:rsid w:val="00CC0B23"/>
    <w:rsid w:val="00D30BD8"/>
    <w:rsid w:val="00D73CA9"/>
    <w:rsid w:val="00DD1012"/>
    <w:rsid w:val="00DF68B4"/>
    <w:rsid w:val="00E0291C"/>
    <w:rsid w:val="00E33AAC"/>
    <w:rsid w:val="00E436DA"/>
    <w:rsid w:val="00E55112"/>
    <w:rsid w:val="00E854BE"/>
    <w:rsid w:val="00F21290"/>
    <w:rsid w:val="00F33671"/>
    <w:rsid w:val="00F724CF"/>
    <w:rsid w:val="00F90239"/>
    <w:rsid w:val="00FA1EC9"/>
    <w:rsid w:val="00FD37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2">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link w:val="Heading2Char"/>
    <w:qFormat/>
    <w:pPr>
      <w:keepNext/>
      <w:spacing w:before="240" w:after="60"/>
      <w:outlineLvl w:val="1"/>
    </w:pPr>
    <w:rPr>
      <w:b/>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sz w:val="32"/>
    </w:rPr>
  </w:style>
  <w:style w:type="paragraph" w:styleId="Heading5">
    <w:name w:val="heading 5"/>
    <w:basedOn w:val="Normal"/>
    <w:next w:val="Normal"/>
    <w:qFormat/>
    <w:pPr>
      <w:keepNext/>
      <w:jc w:val="both"/>
      <w:outlineLvl w:val="4"/>
    </w:pPr>
    <w:rPr>
      <w:b/>
      <w:sz w:val="32"/>
    </w:rPr>
  </w:style>
  <w:style w:type="paragraph" w:styleId="Heading6">
    <w:name w:val="heading 6"/>
    <w:basedOn w:val="Normal"/>
    <w:next w:val="Normal"/>
    <w:qFormat/>
    <w:pPr>
      <w:keepNext/>
      <w:outlineLvl w:val="5"/>
    </w:pPr>
    <w:rPr>
      <w:b/>
      <w:color w:val="FF0000"/>
      <w:sz w:val="32"/>
    </w:rPr>
  </w:style>
  <w:style w:type="paragraph" w:styleId="Heading7">
    <w:name w:val="heading 7"/>
    <w:basedOn w:val="Normal"/>
    <w:next w:val="Normal"/>
    <w:qFormat/>
    <w:pPr>
      <w:keepNext/>
      <w:outlineLvl w:val="6"/>
    </w:pPr>
    <w:rPr>
      <w:b/>
      <w:sz w:val="32"/>
    </w:rPr>
  </w:style>
  <w:style w:type="paragraph" w:styleId="Heading8">
    <w:name w:val="heading 8"/>
    <w:basedOn w:val="Normal"/>
    <w:next w:val="Normal"/>
    <w:qFormat/>
    <w:pPr>
      <w:keepNext/>
      <w:outlineLvl w:val="7"/>
    </w:pPr>
    <w:rPr>
      <w:b/>
      <w:color w:val="FF000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BodyTextIndent">
    <w:name w:val="Body Text Indent"/>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hanging="180"/>
    </w:pPr>
  </w:style>
  <w:style w:type="paragraph" w:styleId="BodyTextIndent2">
    <w:name w:val="Body Text Indent 2"/>
    <w:basedOn w:val="Normal"/>
    <w:pPr>
      <w:ind w:firstLine="284"/>
    </w:pPr>
  </w:style>
  <w:style w:type="paragraph" w:styleId="BodyTextIndent3">
    <w:name w:val="Body Text Indent 3"/>
    <w:basedOn w:val="Normal"/>
    <w:pPr>
      <w:tabs>
        <w:tab w:val="left" w:pos="0"/>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hanging="360"/>
    </w:pPr>
  </w:style>
  <w:style w:type="character" w:styleId="FollowedHyperlink">
    <w:name w:val="FollowedHyperlink"/>
    <w:basedOn w:val="DefaultParagraphFont"/>
    <w:rPr>
      <w:color w:val="800080"/>
      <w:u w:val="single"/>
    </w:rPr>
  </w:style>
  <w:style w:type="paragraph" w:styleId="BodyText">
    <w:name w:val="Body Text"/>
    <w:basedOn w:val="Normal"/>
    <w:pPr>
      <w:tabs>
        <w:tab w:val="center" w:pos="4140"/>
        <w:tab w:val="right" w:pos="8300"/>
      </w:tabs>
      <w:jc w:val="both"/>
    </w:pPr>
  </w:style>
  <w:style w:type="paragraph" w:styleId="BodyText2">
    <w:name w:val="Body Text 2"/>
    <w:basedOn w:val="Normal"/>
    <w:pPr>
      <w:tabs>
        <w:tab w:val="center" w:pos="4140"/>
        <w:tab w:val="right" w:pos="8300"/>
      </w:tabs>
    </w:pPr>
    <w:rPr>
      <w:sz w:val="32"/>
    </w:rPr>
  </w:style>
  <w:style w:type="character" w:customStyle="1" w:styleId="Heading2Char">
    <w:name w:val="Heading 2 Char"/>
    <w:basedOn w:val="DefaultParagraphFont"/>
    <w:link w:val="Heading2"/>
    <w:rsid w:val="004A4A13"/>
    <w:rPr>
      <w:rFonts w:ascii="Arial" w:hAnsi="Arial"/>
      <w:b/>
      <w:sz w:val="28"/>
      <w:lang w:eastAsia="en-US"/>
    </w:rPr>
  </w:style>
  <w:style w:type="character" w:styleId="HTMLCite">
    <w:name w:val="HTML Cite"/>
    <w:basedOn w:val="DefaultParagraphFont"/>
    <w:uiPriority w:val="99"/>
    <w:semiHidden/>
    <w:unhideWhenUsed/>
    <w:rsid w:val="004A4A13"/>
    <w:rPr>
      <w:i w:val="0"/>
      <w:iCs w:val="0"/>
      <w:color w:val="008000"/>
    </w:rPr>
  </w:style>
  <w:style w:type="paragraph" w:styleId="NormalWeb">
    <w:name w:val="Normal (Web)"/>
    <w:basedOn w:val="Normal"/>
    <w:uiPriority w:val="99"/>
    <w:semiHidden/>
    <w:unhideWhenUsed/>
    <w:rsid w:val="004A4A13"/>
    <w:pPr>
      <w:spacing w:after="100" w:afterAutospacing="1"/>
      <w:jc w:val="both"/>
    </w:pPr>
    <w:rPr>
      <w:rFonts w:ascii="Times New Roman" w:hAnsi="Times New Roman"/>
      <w:szCs w:val="24"/>
      <w:lang w:eastAsia="en-GB"/>
    </w:rPr>
  </w:style>
</w:styles>
</file>

<file path=word/webSettings.xml><?xml version="1.0" encoding="utf-8"?>
<w:webSettings xmlns:r="http://schemas.openxmlformats.org/officeDocument/2006/relationships" xmlns:w="http://schemas.openxmlformats.org/wordprocessingml/2006/main">
  <w:divs>
    <w:div w:id="151048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iga.org.uk"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glaucoma-association.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glaucoma-association.com/demo/_images/logos/iga.gi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glaucoma-association.com/nqcontent.cfm?a_id=176&amp;=fromcfc&amp;tt=article&amp;lang=en&amp;site_id=176"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ordann\LOCALS~1\Temp\Generic%20Pat%20Inf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Pat Info.dot</Template>
  <TotalTime>2</TotalTime>
  <Pages>1</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This leaflet tells you about the procedure known as                                                         </vt:lpstr>
    </vt:vector>
  </TitlesOfParts>
  <Company>BHH &amp; Solihull NHS Trust</Company>
  <LinksUpToDate>false</LinksUpToDate>
  <CharactersWithSpaces>3091</CharactersWithSpaces>
  <SharedDoc>false</SharedDoc>
  <HLinks>
    <vt:vector size="48" baseType="variant">
      <vt:variant>
        <vt:i4>2490419</vt:i4>
      </vt:variant>
      <vt:variant>
        <vt:i4>18</vt:i4>
      </vt:variant>
      <vt:variant>
        <vt:i4>0</vt:i4>
      </vt:variant>
      <vt:variant>
        <vt:i4>5</vt:i4>
      </vt:variant>
      <vt:variant>
        <vt:lpwstr>http://www.iwantgreatcare.org/</vt:lpwstr>
      </vt:variant>
      <vt:variant>
        <vt:lpwstr/>
      </vt:variant>
      <vt:variant>
        <vt:i4>5636170</vt:i4>
      </vt:variant>
      <vt:variant>
        <vt:i4>15</vt:i4>
      </vt:variant>
      <vt:variant>
        <vt:i4>0</vt:i4>
      </vt:variant>
      <vt:variant>
        <vt:i4>5</vt:i4>
      </vt:variant>
      <vt:variant>
        <vt:lpwstr>http://www.patientopinion.org.uk/</vt:lpwstr>
      </vt:variant>
      <vt:variant>
        <vt:lpwstr/>
      </vt:variant>
      <vt:variant>
        <vt:i4>7078013</vt:i4>
      </vt:variant>
      <vt:variant>
        <vt:i4>12</vt:i4>
      </vt:variant>
      <vt:variant>
        <vt:i4>0</vt:i4>
      </vt:variant>
      <vt:variant>
        <vt:i4>5</vt:i4>
      </vt:variant>
      <vt:variant>
        <vt:lpwstr>http://www.nhs.uk/</vt:lpwstr>
      </vt:variant>
      <vt:variant>
        <vt:lpwstr/>
      </vt:variant>
      <vt:variant>
        <vt:i4>5439550</vt:i4>
      </vt:variant>
      <vt:variant>
        <vt:i4>9</vt:i4>
      </vt:variant>
      <vt:variant>
        <vt:i4>0</vt:i4>
      </vt:variant>
      <vt:variant>
        <vt:i4>5</vt:i4>
      </vt:variant>
      <vt:variant>
        <vt:lpwstr>mailto:info@iga.org.uk</vt:lpwstr>
      </vt:variant>
      <vt:variant>
        <vt:lpwstr/>
      </vt:variant>
      <vt:variant>
        <vt:i4>917598</vt:i4>
      </vt:variant>
      <vt:variant>
        <vt:i4>6</vt:i4>
      </vt:variant>
      <vt:variant>
        <vt:i4>0</vt:i4>
      </vt:variant>
      <vt:variant>
        <vt:i4>5</vt:i4>
      </vt:variant>
      <vt:variant>
        <vt:lpwstr>http://www.glaucoma-association.com/</vt:lpwstr>
      </vt:variant>
      <vt:variant>
        <vt:lpwstr/>
      </vt:variant>
      <vt:variant>
        <vt:i4>3014717</vt:i4>
      </vt:variant>
      <vt:variant>
        <vt:i4>0</vt:i4>
      </vt:variant>
      <vt:variant>
        <vt:i4>0</vt:i4>
      </vt:variant>
      <vt:variant>
        <vt:i4>5</vt:i4>
      </vt:variant>
      <vt:variant>
        <vt:lpwstr>http://www.glaucoma-association.com/nqcontent.cfm?a_id=176&amp;=fromcfc&amp;tt=article&amp;lang=en&amp;site_id=176</vt:lpwstr>
      </vt:variant>
      <vt:variant>
        <vt:lpwstr/>
      </vt:variant>
      <vt:variant>
        <vt:i4>3014717</vt:i4>
      </vt:variant>
      <vt:variant>
        <vt:i4>-1</vt:i4>
      </vt:variant>
      <vt:variant>
        <vt:i4>1038</vt:i4>
      </vt:variant>
      <vt:variant>
        <vt:i4>4</vt:i4>
      </vt:variant>
      <vt:variant>
        <vt:lpwstr>http://www.glaucoma-association.com/nqcontent.cfm?a_id=176&amp;=fromcfc&amp;tt=article&amp;lang=en&amp;site_id=176</vt:lpwstr>
      </vt:variant>
      <vt:variant>
        <vt:lpwstr/>
      </vt:variant>
      <vt:variant>
        <vt:i4>5439541</vt:i4>
      </vt:variant>
      <vt:variant>
        <vt:i4>-1</vt:i4>
      </vt:variant>
      <vt:variant>
        <vt:i4>1038</vt:i4>
      </vt:variant>
      <vt:variant>
        <vt:i4>1</vt:i4>
      </vt:variant>
      <vt:variant>
        <vt:lpwstr>http://www.glaucoma-association.com/demo/_images/logos/iga.gif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leaflet tells you about the procedure known as                                                         </dc:title>
  <dc:subject/>
  <dc:creator>nigel jordan</dc:creator>
  <cp:keywords/>
  <cp:lastModifiedBy> </cp:lastModifiedBy>
  <cp:revision>2</cp:revision>
  <cp:lastPrinted>2009-09-08T10:29:00Z</cp:lastPrinted>
  <dcterms:created xsi:type="dcterms:W3CDTF">2011-02-11T14:36:00Z</dcterms:created>
  <dcterms:modified xsi:type="dcterms:W3CDTF">2011-02-11T14:36:00Z</dcterms:modified>
</cp:coreProperties>
</file>